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F5BB8" w14:textId="31FE2993" w:rsidR="00C90292" w:rsidRPr="00E1021D" w:rsidRDefault="00C90292" w:rsidP="00C90292">
      <w:pPr>
        <w:jc w:val="center"/>
        <w:rPr>
          <w:b/>
          <w:sz w:val="20"/>
          <w:szCs w:val="20"/>
        </w:rPr>
      </w:pPr>
      <w:bookmarkStart w:id="0" w:name="_GoBack"/>
      <w:bookmarkEnd w:id="0"/>
      <w:r w:rsidRPr="00E1021D">
        <w:rPr>
          <w:b/>
          <w:sz w:val="20"/>
          <w:szCs w:val="20"/>
        </w:rPr>
        <w:t>NOTICE OF RIGHTS AND RESPONSIBILITIES</w:t>
      </w:r>
    </w:p>
    <w:p w14:paraId="21CE9FE0" w14:textId="5F065F59" w:rsidR="00C90292" w:rsidRPr="00E1021D" w:rsidRDefault="00C90292" w:rsidP="00C90292">
      <w:pPr>
        <w:jc w:val="center"/>
        <w:rPr>
          <w:sz w:val="20"/>
          <w:szCs w:val="20"/>
        </w:rPr>
      </w:pPr>
      <w:r w:rsidRPr="00E1021D">
        <w:rPr>
          <w:sz w:val="20"/>
          <w:szCs w:val="20"/>
        </w:rPr>
        <w:t>of applicants for Title XX-funded legal services and clients whose eligibility for Title-XX funded se</w:t>
      </w:r>
      <w:r>
        <w:rPr>
          <w:sz w:val="20"/>
          <w:szCs w:val="20"/>
        </w:rPr>
        <w:t xml:space="preserve">rvices must be </w:t>
      </w:r>
      <w:r w:rsidR="00477101">
        <w:rPr>
          <w:sz w:val="20"/>
          <w:szCs w:val="20"/>
        </w:rPr>
        <w:t>determined or re</w:t>
      </w:r>
      <w:r w:rsidR="00477101" w:rsidRPr="00E1021D">
        <w:rPr>
          <w:sz w:val="20"/>
          <w:szCs w:val="20"/>
        </w:rPr>
        <w:t>determined</w:t>
      </w:r>
    </w:p>
    <w:p w14:paraId="0ED81BC9" w14:textId="77777777" w:rsidR="00C90292" w:rsidRPr="00E1021D" w:rsidRDefault="00C90292" w:rsidP="00C90292">
      <w:pPr>
        <w:rPr>
          <w:sz w:val="20"/>
          <w:szCs w:val="20"/>
        </w:rPr>
      </w:pPr>
    </w:p>
    <w:p w14:paraId="13AEA578" w14:textId="77777777" w:rsidR="00C90292" w:rsidRPr="00E1021D" w:rsidRDefault="00C90292" w:rsidP="00C90292">
      <w:pPr>
        <w:rPr>
          <w:sz w:val="20"/>
          <w:szCs w:val="20"/>
        </w:rPr>
      </w:pPr>
      <w:r w:rsidRPr="00E1021D">
        <w:rPr>
          <w:sz w:val="20"/>
          <w:szCs w:val="20"/>
        </w:rPr>
        <w:t xml:space="preserve"> Please be advised that you have:</w:t>
      </w:r>
    </w:p>
    <w:p w14:paraId="2E0EAFF5" w14:textId="77777777" w:rsidR="00C90292" w:rsidRPr="00E1021D" w:rsidRDefault="00C90292" w:rsidP="00C90292">
      <w:pPr>
        <w:widowControl/>
        <w:numPr>
          <w:ilvl w:val="0"/>
          <w:numId w:val="1"/>
        </w:numPr>
        <w:autoSpaceDE/>
        <w:autoSpaceDN/>
        <w:adjustRightInd/>
        <w:rPr>
          <w:sz w:val="20"/>
          <w:szCs w:val="20"/>
        </w:rPr>
      </w:pPr>
      <w:r w:rsidRPr="00E1021D">
        <w:rPr>
          <w:sz w:val="20"/>
          <w:szCs w:val="20"/>
        </w:rPr>
        <w:t>The right to request services funded under the Title XX Social Services Block Grant;</w:t>
      </w:r>
    </w:p>
    <w:p w14:paraId="048108CC" w14:textId="77777777" w:rsidR="00C90292" w:rsidRPr="00E1021D" w:rsidRDefault="00C90292" w:rsidP="00C90292">
      <w:pPr>
        <w:widowControl/>
        <w:numPr>
          <w:ilvl w:val="0"/>
          <w:numId w:val="1"/>
        </w:numPr>
        <w:autoSpaceDE/>
        <w:autoSpaceDN/>
        <w:adjustRightInd/>
        <w:rPr>
          <w:sz w:val="20"/>
          <w:szCs w:val="20"/>
        </w:rPr>
      </w:pPr>
      <w:r w:rsidRPr="00E1021D">
        <w:rPr>
          <w:sz w:val="20"/>
          <w:szCs w:val="20"/>
        </w:rPr>
        <w:t>The right to have an application form completed by the Title XX service provider within 10 calendar days from the date of the service request;</w:t>
      </w:r>
    </w:p>
    <w:p w14:paraId="653B35D3" w14:textId="77777777" w:rsidR="00C90292" w:rsidRPr="00E1021D" w:rsidRDefault="00C90292" w:rsidP="00C90292">
      <w:pPr>
        <w:widowControl/>
        <w:numPr>
          <w:ilvl w:val="0"/>
          <w:numId w:val="1"/>
        </w:numPr>
        <w:autoSpaceDE/>
        <w:autoSpaceDN/>
        <w:adjustRightInd/>
        <w:rPr>
          <w:sz w:val="20"/>
          <w:szCs w:val="20"/>
        </w:rPr>
      </w:pPr>
      <w:r w:rsidRPr="00E1021D">
        <w:rPr>
          <w:sz w:val="20"/>
          <w:szCs w:val="20"/>
        </w:rPr>
        <w:t>The right to have eligibility determined within 30 calendar days from the date the application form is dated and signed;</w:t>
      </w:r>
    </w:p>
    <w:p w14:paraId="2B8CD6F1" w14:textId="77777777" w:rsidR="00C90292" w:rsidRPr="00E1021D" w:rsidRDefault="00C90292" w:rsidP="00C90292">
      <w:pPr>
        <w:widowControl/>
        <w:numPr>
          <w:ilvl w:val="0"/>
          <w:numId w:val="1"/>
        </w:numPr>
        <w:autoSpaceDE/>
        <w:autoSpaceDN/>
        <w:adjustRightInd/>
        <w:rPr>
          <w:sz w:val="20"/>
          <w:szCs w:val="20"/>
        </w:rPr>
      </w:pPr>
      <w:r w:rsidRPr="00E1021D">
        <w:rPr>
          <w:sz w:val="20"/>
          <w:szCs w:val="20"/>
        </w:rPr>
        <w:t>The right to be notified of eligibility and service decisions;</w:t>
      </w:r>
    </w:p>
    <w:p w14:paraId="551E959F" w14:textId="77777777" w:rsidR="00C90292" w:rsidRPr="00E1021D" w:rsidRDefault="00C90292" w:rsidP="00C90292">
      <w:pPr>
        <w:widowControl/>
        <w:numPr>
          <w:ilvl w:val="0"/>
          <w:numId w:val="1"/>
        </w:numPr>
        <w:autoSpaceDE/>
        <w:autoSpaceDN/>
        <w:adjustRightInd/>
        <w:rPr>
          <w:sz w:val="20"/>
          <w:szCs w:val="20"/>
        </w:rPr>
      </w:pPr>
      <w:r w:rsidRPr="00E1021D">
        <w:rPr>
          <w:sz w:val="20"/>
          <w:szCs w:val="20"/>
        </w:rPr>
        <w:t>The right to request a Departmental hearing to appeal:</w:t>
      </w:r>
    </w:p>
    <w:p w14:paraId="115EC5D6" w14:textId="77777777" w:rsidR="00C90292" w:rsidRPr="00E1021D" w:rsidRDefault="00C90292" w:rsidP="00C90292">
      <w:pPr>
        <w:widowControl/>
        <w:numPr>
          <w:ilvl w:val="1"/>
          <w:numId w:val="1"/>
        </w:numPr>
        <w:autoSpaceDE/>
        <w:autoSpaceDN/>
        <w:adjustRightInd/>
        <w:rPr>
          <w:sz w:val="20"/>
          <w:szCs w:val="20"/>
        </w:rPr>
      </w:pPr>
      <w:r w:rsidRPr="00E1021D">
        <w:rPr>
          <w:sz w:val="20"/>
          <w:szCs w:val="20"/>
        </w:rPr>
        <w:t>A finding of ineligibility after a determination or redetermination of eligibility;</w:t>
      </w:r>
    </w:p>
    <w:p w14:paraId="7BD86ABF" w14:textId="77777777" w:rsidR="00C90292" w:rsidRPr="00E1021D" w:rsidRDefault="00C90292" w:rsidP="00C90292">
      <w:pPr>
        <w:widowControl/>
        <w:numPr>
          <w:ilvl w:val="1"/>
          <w:numId w:val="1"/>
        </w:numPr>
        <w:autoSpaceDE/>
        <w:autoSpaceDN/>
        <w:adjustRightInd/>
        <w:rPr>
          <w:sz w:val="20"/>
          <w:szCs w:val="20"/>
        </w:rPr>
      </w:pPr>
      <w:r w:rsidRPr="00E1021D">
        <w:rPr>
          <w:sz w:val="20"/>
          <w:szCs w:val="20"/>
        </w:rPr>
        <w:t>The failure to make a decision on an application or a request for service within the time periods specified in these regulations;</w:t>
      </w:r>
    </w:p>
    <w:p w14:paraId="38841095" w14:textId="77777777" w:rsidR="00C90292" w:rsidRPr="00E1021D" w:rsidRDefault="00C90292" w:rsidP="00C90292">
      <w:pPr>
        <w:widowControl/>
        <w:numPr>
          <w:ilvl w:val="1"/>
          <w:numId w:val="1"/>
        </w:numPr>
        <w:autoSpaceDE/>
        <w:autoSpaceDN/>
        <w:adjustRightInd/>
        <w:rPr>
          <w:sz w:val="20"/>
          <w:szCs w:val="20"/>
        </w:rPr>
      </w:pPr>
      <w:r w:rsidRPr="00E1021D">
        <w:rPr>
          <w:sz w:val="20"/>
          <w:szCs w:val="20"/>
        </w:rPr>
        <w:t>A denial of service;</w:t>
      </w:r>
    </w:p>
    <w:p w14:paraId="3D7CECE2" w14:textId="77777777" w:rsidR="00C90292" w:rsidRPr="00E1021D" w:rsidRDefault="00C90292" w:rsidP="00C90292">
      <w:pPr>
        <w:widowControl/>
        <w:numPr>
          <w:ilvl w:val="1"/>
          <w:numId w:val="1"/>
        </w:numPr>
        <w:autoSpaceDE/>
        <w:autoSpaceDN/>
        <w:adjustRightInd/>
        <w:rPr>
          <w:sz w:val="20"/>
          <w:szCs w:val="20"/>
        </w:rPr>
      </w:pPr>
      <w:r w:rsidRPr="00E1021D">
        <w:rPr>
          <w:sz w:val="20"/>
          <w:szCs w:val="20"/>
        </w:rPr>
        <w:t xml:space="preserve">A reduction, termination, or suspension of a service; </w:t>
      </w:r>
    </w:p>
    <w:p w14:paraId="7C988240" w14:textId="77777777" w:rsidR="00C90292" w:rsidRPr="00E1021D" w:rsidRDefault="00C90292" w:rsidP="00C90292">
      <w:pPr>
        <w:widowControl/>
        <w:numPr>
          <w:ilvl w:val="0"/>
          <w:numId w:val="1"/>
        </w:numPr>
        <w:autoSpaceDE/>
        <w:autoSpaceDN/>
        <w:adjustRightInd/>
        <w:rPr>
          <w:sz w:val="20"/>
          <w:szCs w:val="20"/>
        </w:rPr>
      </w:pPr>
      <w:r w:rsidRPr="00E1021D">
        <w:rPr>
          <w:sz w:val="20"/>
          <w:szCs w:val="20"/>
        </w:rPr>
        <w:t xml:space="preserve">The right to continue to receive service, if a timely appeal is filed, until the fair hearing decision is rendered </w:t>
      </w:r>
      <w:r w:rsidRPr="00E1021D">
        <w:rPr>
          <w:sz w:val="20"/>
          <w:szCs w:val="20"/>
          <w:vertAlign w:val="superscript"/>
        </w:rPr>
        <w:t>1</w:t>
      </w:r>
      <w:r w:rsidRPr="00E1021D">
        <w:rPr>
          <w:sz w:val="20"/>
          <w:szCs w:val="20"/>
        </w:rPr>
        <w:t>;</w:t>
      </w:r>
    </w:p>
    <w:p w14:paraId="01C9BD87" w14:textId="77777777" w:rsidR="00C90292" w:rsidRPr="00E1021D" w:rsidRDefault="00C90292" w:rsidP="00C90292">
      <w:pPr>
        <w:widowControl/>
        <w:numPr>
          <w:ilvl w:val="0"/>
          <w:numId w:val="1"/>
        </w:numPr>
        <w:autoSpaceDE/>
        <w:autoSpaceDN/>
        <w:adjustRightInd/>
        <w:rPr>
          <w:sz w:val="20"/>
          <w:szCs w:val="20"/>
        </w:rPr>
      </w:pPr>
      <w:r w:rsidRPr="00E1021D">
        <w:rPr>
          <w:sz w:val="20"/>
          <w:szCs w:val="20"/>
        </w:rPr>
        <w:t xml:space="preserve">The responsibility to provide true and complete information to enable the Title XX service provider to establish eligibility; </w:t>
      </w:r>
    </w:p>
    <w:p w14:paraId="3378834A" w14:textId="77777777" w:rsidR="00C90292" w:rsidRPr="00E1021D" w:rsidRDefault="00C90292" w:rsidP="00C90292">
      <w:pPr>
        <w:widowControl/>
        <w:numPr>
          <w:ilvl w:val="0"/>
          <w:numId w:val="1"/>
        </w:numPr>
        <w:autoSpaceDE/>
        <w:autoSpaceDN/>
        <w:adjustRightInd/>
        <w:rPr>
          <w:sz w:val="20"/>
          <w:szCs w:val="20"/>
        </w:rPr>
      </w:pPr>
      <w:r w:rsidRPr="00E1021D">
        <w:rPr>
          <w:sz w:val="20"/>
          <w:szCs w:val="20"/>
        </w:rPr>
        <w:t xml:space="preserve">The responsibility to report to the title XX service provider any subsequent changes in circumstances which may change your eligibility, such as address, family size, PA 5-A card status, or income; </w:t>
      </w:r>
    </w:p>
    <w:p w14:paraId="31517DE9" w14:textId="77777777" w:rsidR="00C90292" w:rsidRPr="00E1021D" w:rsidRDefault="00C90292" w:rsidP="00C90292">
      <w:pPr>
        <w:widowControl/>
        <w:numPr>
          <w:ilvl w:val="0"/>
          <w:numId w:val="1"/>
        </w:numPr>
        <w:autoSpaceDE/>
        <w:autoSpaceDN/>
        <w:adjustRightInd/>
        <w:rPr>
          <w:sz w:val="20"/>
          <w:szCs w:val="20"/>
        </w:rPr>
      </w:pPr>
      <w:r w:rsidRPr="00E1021D">
        <w:rPr>
          <w:sz w:val="20"/>
          <w:szCs w:val="20"/>
        </w:rPr>
        <w:t>The responsibility to provide documentation or eligibility-related items when required, as a condition for receiving, and continuing to remain eligible for Title XX social services;</w:t>
      </w:r>
    </w:p>
    <w:p w14:paraId="1E581DD3" w14:textId="77777777" w:rsidR="00C90292" w:rsidRPr="00E1021D" w:rsidRDefault="00C90292" w:rsidP="00C90292">
      <w:pPr>
        <w:widowControl/>
        <w:numPr>
          <w:ilvl w:val="0"/>
          <w:numId w:val="1"/>
        </w:numPr>
        <w:autoSpaceDE/>
        <w:autoSpaceDN/>
        <w:adjustRightInd/>
        <w:rPr>
          <w:sz w:val="20"/>
          <w:szCs w:val="20"/>
        </w:rPr>
      </w:pPr>
      <w:r w:rsidRPr="00E1021D">
        <w:rPr>
          <w:sz w:val="20"/>
          <w:szCs w:val="20"/>
        </w:rPr>
        <w:t xml:space="preserve">The responsibility for the cost of service from the proposed effective date of the title XX service provider’s decision which was appealed until the date service is terminated or reduced, if the Office of Hearing and Appeals finds that you do not meet eligibility or service requirements; </w:t>
      </w:r>
    </w:p>
    <w:p w14:paraId="357CFAC0" w14:textId="77777777" w:rsidR="00C90292" w:rsidRPr="00E1021D" w:rsidRDefault="00C90292" w:rsidP="00C90292">
      <w:pPr>
        <w:widowControl/>
        <w:numPr>
          <w:ilvl w:val="0"/>
          <w:numId w:val="1"/>
        </w:numPr>
        <w:autoSpaceDE/>
        <w:autoSpaceDN/>
        <w:adjustRightInd/>
        <w:rPr>
          <w:sz w:val="20"/>
          <w:szCs w:val="20"/>
        </w:rPr>
      </w:pPr>
      <w:r w:rsidRPr="00E1021D">
        <w:rPr>
          <w:sz w:val="20"/>
          <w:szCs w:val="20"/>
        </w:rPr>
        <w:t xml:space="preserve">The responsibility for payment of the fee decided by the Office of Hearing and Appeals as a result of an appeal hearing. </w:t>
      </w:r>
    </w:p>
    <w:p w14:paraId="16AC5C16" w14:textId="77777777" w:rsidR="00C90292" w:rsidRPr="00E1021D" w:rsidRDefault="00C90292" w:rsidP="00C90292">
      <w:pPr>
        <w:ind w:left="360"/>
        <w:rPr>
          <w:sz w:val="20"/>
          <w:szCs w:val="20"/>
        </w:rPr>
      </w:pPr>
    </w:p>
    <w:p w14:paraId="6D5584A4" w14:textId="77777777" w:rsidR="00C90292" w:rsidRPr="00E1021D" w:rsidRDefault="00C90292" w:rsidP="00C90292">
      <w:pPr>
        <w:ind w:left="360"/>
        <w:rPr>
          <w:sz w:val="20"/>
          <w:szCs w:val="20"/>
        </w:rPr>
      </w:pPr>
      <w:r w:rsidRPr="00E1021D">
        <w:rPr>
          <w:sz w:val="20"/>
          <w:szCs w:val="20"/>
        </w:rPr>
        <w:t xml:space="preserve">In addition, please be advised that fraudulent receipt of Title XX Social Services based on false information, provided knowingly, makes you liable to legal prosecution. </w:t>
      </w:r>
    </w:p>
    <w:p w14:paraId="04CE80D1" w14:textId="77777777" w:rsidR="00C90292" w:rsidRPr="00E1021D" w:rsidRDefault="00C90292" w:rsidP="00C90292">
      <w:pPr>
        <w:ind w:left="360"/>
        <w:rPr>
          <w:sz w:val="20"/>
          <w:szCs w:val="20"/>
        </w:rPr>
      </w:pPr>
    </w:p>
    <w:p w14:paraId="01308182" w14:textId="77777777" w:rsidR="00C90292" w:rsidRPr="00E1021D" w:rsidRDefault="00C90292" w:rsidP="00C90292">
      <w:pPr>
        <w:ind w:left="360"/>
        <w:rPr>
          <w:sz w:val="20"/>
          <w:szCs w:val="20"/>
        </w:rPr>
      </w:pPr>
      <w:r w:rsidRPr="00E1021D">
        <w:rPr>
          <w:sz w:val="20"/>
          <w:szCs w:val="20"/>
        </w:rPr>
        <w:t>I have read the above list of my rights and responsibilities as a recipient of Title XX services.</w:t>
      </w:r>
    </w:p>
    <w:p w14:paraId="3CE518D1" w14:textId="77777777" w:rsidR="00C90292" w:rsidRPr="00E1021D" w:rsidRDefault="00C90292" w:rsidP="00C90292">
      <w:pPr>
        <w:ind w:left="360"/>
        <w:rPr>
          <w:sz w:val="20"/>
          <w:szCs w:val="20"/>
        </w:rPr>
      </w:pPr>
    </w:p>
    <w:p w14:paraId="3BF5D36F" w14:textId="77777777" w:rsidR="00C90292" w:rsidRPr="00E1021D" w:rsidRDefault="00C90292" w:rsidP="00C90292">
      <w:pPr>
        <w:ind w:left="360"/>
        <w:rPr>
          <w:sz w:val="20"/>
          <w:szCs w:val="20"/>
        </w:rPr>
      </w:pPr>
    </w:p>
    <w:p w14:paraId="60BD0F88" w14:textId="77777777" w:rsidR="00C90292" w:rsidRPr="00E1021D" w:rsidRDefault="00C90292" w:rsidP="00C90292">
      <w:pPr>
        <w:ind w:left="360"/>
        <w:rPr>
          <w:sz w:val="20"/>
          <w:szCs w:val="20"/>
        </w:rPr>
      </w:pPr>
    </w:p>
    <w:p w14:paraId="5009B5D0" w14:textId="77777777" w:rsidR="00C90292" w:rsidRPr="00E1021D" w:rsidRDefault="00C90292" w:rsidP="00C90292">
      <w:pPr>
        <w:ind w:left="360"/>
        <w:rPr>
          <w:sz w:val="20"/>
          <w:szCs w:val="20"/>
        </w:rPr>
      </w:pPr>
    </w:p>
    <w:p w14:paraId="1F90CB80" w14:textId="77777777" w:rsidR="00C90292" w:rsidRPr="00E1021D" w:rsidRDefault="00C90292" w:rsidP="00C90292">
      <w:pPr>
        <w:ind w:left="360"/>
        <w:rPr>
          <w:sz w:val="20"/>
          <w:szCs w:val="20"/>
        </w:rPr>
      </w:pPr>
    </w:p>
    <w:p w14:paraId="10DBA64D" w14:textId="77777777" w:rsidR="00C90292" w:rsidRPr="00E1021D" w:rsidRDefault="00C90292" w:rsidP="00C90292">
      <w:pPr>
        <w:ind w:left="360"/>
        <w:rPr>
          <w:sz w:val="20"/>
          <w:szCs w:val="20"/>
        </w:rPr>
      </w:pPr>
      <w:r w:rsidRPr="00E1021D">
        <w:rPr>
          <w:sz w:val="20"/>
          <w:szCs w:val="20"/>
        </w:rPr>
        <w:t>______________________________________</w:t>
      </w:r>
      <w:r w:rsidRPr="00E1021D">
        <w:rPr>
          <w:sz w:val="20"/>
          <w:szCs w:val="20"/>
        </w:rPr>
        <w:tab/>
      </w:r>
      <w:r w:rsidRPr="00E1021D">
        <w:rPr>
          <w:sz w:val="20"/>
          <w:szCs w:val="20"/>
        </w:rPr>
        <w:tab/>
        <w:t>_______________________</w:t>
      </w:r>
    </w:p>
    <w:p w14:paraId="55877F4F" w14:textId="77777777" w:rsidR="00C90292" w:rsidRPr="00E1021D" w:rsidRDefault="00C90292" w:rsidP="00C90292">
      <w:pPr>
        <w:ind w:left="360"/>
        <w:rPr>
          <w:sz w:val="20"/>
          <w:szCs w:val="20"/>
        </w:rPr>
      </w:pPr>
      <w:r w:rsidRPr="00E1021D">
        <w:rPr>
          <w:sz w:val="20"/>
          <w:szCs w:val="20"/>
        </w:rPr>
        <w:t xml:space="preserve"> </w:t>
      </w:r>
      <w:r w:rsidRPr="00E1021D">
        <w:rPr>
          <w:sz w:val="20"/>
          <w:szCs w:val="20"/>
        </w:rPr>
        <w:tab/>
      </w:r>
      <w:r w:rsidRPr="00E1021D">
        <w:rPr>
          <w:sz w:val="20"/>
          <w:szCs w:val="20"/>
        </w:rPr>
        <w:tab/>
      </w:r>
      <w:r w:rsidRPr="003E4128">
        <w:rPr>
          <w:sz w:val="20"/>
          <w:szCs w:val="20"/>
        </w:rPr>
        <w:t>Applicant’s Signature</w:t>
      </w:r>
      <w:r>
        <w:rPr>
          <w:sz w:val="20"/>
          <w:szCs w:val="20"/>
        </w:rPr>
        <w:tab/>
      </w:r>
      <w:r>
        <w:rPr>
          <w:sz w:val="20"/>
          <w:szCs w:val="20"/>
        </w:rPr>
        <w:tab/>
      </w:r>
      <w:r>
        <w:rPr>
          <w:sz w:val="20"/>
          <w:szCs w:val="20"/>
        </w:rPr>
        <w:tab/>
      </w:r>
      <w:r>
        <w:rPr>
          <w:sz w:val="20"/>
          <w:szCs w:val="20"/>
        </w:rPr>
        <w:tab/>
        <w:t xml:space="preserve">       </w:t>
      </w:r>
      <w:r w:rsidRPr="00E1021D">
        <w:rPr>
          <w:sz w:val="20"/>
          <w:szCs w:val="20"/>
        </w:rPr>
        <w:t xml:space="preserve"> </w:t>
      </w:r>
      <w:r w:rsidRPr="003E4128">
        <w:rPr>
          <w:sz w:val="20"/>
          <w:szCs w:val="20"/>
        </w:rPr>
        <w:t>Date</w:t>
      </w:r>
      <w:r w:rsidRPr="00E1021D">
        <w:rPr>
          <w:sz w:val="20"/>
          <w:szCs w:val="20"/>
        </w:rPr>
        <w:t xml:space="preserve"> </w:t>
      </w:r>
    </w:p>
    <w:p w14:paraId="4A2BE166" w14:textId="77777777" w:rsidR="00C90292" w:rsidRPr="00E1021D" w:rsidRDefault="00C90292" w:rsidP="00C90292">
      <w:pPr>
        <w:rPr>
          <w:sz w:val="20"/>
          <w:szCs w:val="20"/>
        </w:rPr>
      </w:pPr>
    </w:p>
    <w:p w14:paraId="1072EEE2" w14:textId="77777777" w:rsidR="00C90292" w:rsidRPr="00E1021D" w:rsidRDefault="00C90292" w:rsidP="00C90292">
      <w:pPr>
        <w:rPr>
          <w:sz w:val="20"/>
          <w:szCs w:val="20"/>
        </w:rPr>
      </w:pPr>
    </w:p>
    <w:p w14:paraId="24430C00" w14:textId="77777777" w:rsidR="00C90292" w:rsidRPr="00E1021D" w:rsidRDefault="00C90292" w:rsidP="00C90292">
      <w:pPr>
        <w:rPr>
          <w:sz w:val="20"/>
          <w:szCs w:val="20"/>
        </w:rPr>
      </w:pPr>
    </w:p>
    <w:p w14:paraId="3B3022CF" w14:textId="77777777" w:rsidR="00C90292" w:rsidRPr="00E1021D" w:rsidRDefault="00C90292" w:rsidP="00C90292">
      <w:pPr>
        <w:ind w:left="360"/>
        <w:rPr>
          <w:sz w:val="20"/>
          <w:szCs w:val="20"/>
        </w:rPr>
      </w:pPr>
      <w:r w:rsidRPr="00E1021D">
        <w:rPr>
          <w:sz w:val="20"/>
          <w:szCs w:val="20"/>
        </w:rPr>
        <w:t>______________________________________</w:t>
      </w:r>
      <w:r w:rsidRPr="00E1021D">
        <w:rPr>
          <w:sz w:val="20"/>
          <w:szCs w:val="20"/>
        </w:rPr>
        <w:tab/>
      </w:r>
      <w:r w:rsidRPr="00E1021D">
        <w:rPr>
          <w:sz w:val="20"/>
          <w:szCs w:val="20"/>
        </w:rPr>
        <w:tab/>
        <w:t>_______________________</w:t>
      </w:r>
    </w:p>
    <w:p w14:paraId="40B42BA0" w14:textId="77777777" w:rsidR="00C90292" w:rsidRPr="00E1021D" w:rsidRDefault="00C90292" w:rsidP="00C90292">
      <w:pPr>
        <w:ind w:left="360"/>
        <w:rPr>
          <w:sz w:val="20"/>
          <w:szCs w:val="20"/>
        </w:rPr>
      </w:pPr>
      <w:r w:rsidRPr="00E1021D">
        <w:rPr>
          <w:sz w:val="20"/>
          <w:szCs w:val="20"/>
        </w:rPr>
        <w:t xml:space="preserve"> </w:t>
      </w:r>
      <w:r w:rsidRPr="00E1021D">
        <w:rPr>
          <w:sz w:val="20"/>
          <w:szCs w:val="20"/>
        </w:rPr>
        <w:tab/>
        <w:t>Client’s Signature (at redetermination)</w:t>
      </w:r>
      <w:r w:rsidRPr="00E1021D">
        <w:rPr>
          <w:sz w:val="20"/>
          <w:szCs w:val="20"/>
        </w:rPr>
        <w:tab/>
      </w:r>
      <w:r w:rsidRPr="00E1021D">
        <w:rPr>
          <w:sz w:val="20"/>
          <w:szCs w:val="20"/>
        </w:rPr>
        <w:tab/>
      </w:r>
      <w:r w:rsidRPr="00E1021D">
        <w:rPr>
          <w:sz w:val="20"/>
          <w:szCs w:val="20"/>
        </w:rPr>
        <w:tab/>
        <w:t xml:space="preserve">        Date </w:t>
      </w:r>
    </w:p>
    <w:p w14:paraId="5AFA7D74" w14:textId="77777777" w:rsidR="00C90292" w:rsidRPr="00E1021D" w:rsidRDefault="00C90292" w:rsidP="00C90292">
      <w:pPr>
        <w:rPr>
          <w:sz w:val="20"/>
          <w:szCs w:val="20"/>
        </w:rPr>
      </w:pPr>
    </w:p>
    <w:p w14:paraId="56ABAD4C" w14:textId="77777777" w:rsidR="00C90292" w:rsidRPr="00E1021D" w:rsidRDefault="00C90292" w:rsidP="00C90292">
      <w:pPr>
        <w:rPr>
          <w:i/>
          <w:sz w:val="20"/>
          <w:szCs w:val="20"/>
        </w:rPr>
      </w:pPr>
      <w:r w:rsidRPr="00E1021D">
        <w:rPr>
          <w:i/>
          <w:sz w:val="20"/>
          <w:szCs w:val="20"/>
        </w:rPr>
        <w:t xml:space="preserve">Sources: 12, Pennsylvania Bulletin 2007, 2011 (June 26, 1982) regs. 3-1-104, 3-1-176. </w:t>
      </w:r>
    </w:p>
    <w:p w14:paraId="13241481" w14:textId="77777777" w:rsidR="00C90292" w:rsidRPr="00E1021D" w:rsidRDefault="00C90292" w:rsidP="00C90292">
      <w:pPr>
        <w:rPr>
          <w:sz w:val="20"/>
          <w:szCs w:val="20"/>
        </w:rPr>
      </w:pPr>
    </w:p>
    <w:p w14:paraId="6A334ECF" w14:textId="77777777" w:rsidR="00C90292" w:rsidRPr="00E1021D" w:rsidRDefault="00C90292" w:rsidP="00C90292">
      <w:pPr>
        <w:rPr>
          <w:sz w:val="20"/>
          <w:szCs w:val="20"/>
        </w:rPr>
      </w:pPr>
      <w:r w:rsidRPr="00E1021D">
        <w:rPr>
          <w:sz w:val="20"/>
          <w:szCs w:val="20"/>
          <w:vertAlign w:val="superscript"/>
        </w:rPr>
        <w:t>1</w:t>
      </w:r>
      <w:r w:rsidRPr="00E1021D">
        <w:rPr>
          <w:sz w:val="20"/>
          <w:szCs w:val="20"/>
        </w:rPr>
        <w:t xml:space="preserve"> The provision of service is subject to the Code of Professional Responsibility</w:t>
      </w:r>
    </w:p>
    <w:p w14:paraId="4D635302" w14:textId="77777777" w:rsidR="00C90292" w:rsidRDefault="00C90292" w:rsidP="00C90292">
      <w:pPr>
        <w:pStyle w:val="CM5"/>
        <w:framePr w:w="5472" w:wrap="auto" w:vAnchor="page" w:hAnchor="page" w:x="3837" w:y="688"/>
        <w:jc w:val="center"/>
        <w:rPr>
          <w:color w:val="211E1E"/>
          <w:sz w:val="23"/>
          <w:szCs w:val="23"/>
        </w:rPr>
      </w:pPr>
      <w:r>
        <w:br w:type="page"/>
      </w:r>
      <w:r>
        <w:rPr>
          <w:b/>
          <w:bCs/>
          <w:color w:val="211E1E"/>
          <w:sz w:val="23"/>
          <w:szCs w:val="23"/>
        </w:rPr>
        <w:t xml:space="preserve">RIGHT TO APPEAL AND FAIR HEARING </w:t>
      </w:r>
    </w:p>
    <w:p w14:paraId="76745E92" w14:textId="0DAD0FB5" w:rsidR="00C90292" w:rsidRDefault="00C90292" w:rsidP="00C90292">
      <w:pPr>
        <w:pStyle w:val="CM8"/>
        <w:framePr w:w="11364" w:wrap="auto" w:vAnchor="page" w:hAnchor="page" w:x="471" w:y="1236"/>
        <w:spacing w:line="193" w:lineRule="atLeast"/>
        <w:jc w:val="both"/>
        <w:rPr>
          <w:rFonts w:cs="Arial"/>
          <w:color w:val="211E1E"/>
          <w:sz w:val="16"/>
          <w:szCs w:val="16"/>
        </w:rPr>
      </w:pPr>
      <w:r>
        <w:rPr>
          <w:rFonts w:cs="Arial"/>
          <w:color w:val="211E1E"/>
          <w:sz w:val="16"/>
          <w:szCs w:val="16"/>
        </w:rPr>
        <w:t xml:space="preserve">You have the right to file an appeal within the time limits specified on the other side of this form and request a fair hearing from the </w:t>
      </w:r>
      <w:r w:rsidR="006735EA">
        <w:rPr>
          <w:rFonts w:cs="Arial"/>
          <w:color w:val="211E1E"/>
          <w:sz w:val="16"/>
          <w:szCs w:val="16"/>
        </w:rPr>
        <w:t>Department of Human Services</w:t>
      </w:r>
      <w:r>
        <w:rPr>
          <w:rFonts w:cs="Arial"/>
          <w:color w:val="211E1E"/>
          <w:sz w:val="16"/>
          <w:szCs w:val="16"/>
        </w:rPr>
        <w:t xml:space="preserve">. </w:t>
      </w:r>
    </w:p>
    <w:p w14:paraId="695D07FD" w14:textId="77777777" w:rsidR="00C90292" w:rsidRDefault="00C90292" w:rsidP="00C90292">
      <w:pPr>
        <w:pStyle w:val="CM7"/>
        <w:framePr w:w="5486" w:wrap="auto" w:vAnchor="page" w:hAnchor="page" w:x="650" w:y="2167"/>
        <w:jc w:val="both"/>
        <w:rPr>
          <w:rFonts w:cs="Arial"/>
          <w:color w:val="211E1E"/>
          <w:sz w:val="16"/>
          <w:szCs w:val="16"/>
        </w:rPr>
      </w:pPr>
      <w:r>
        <w:rPr>
          <w:rFonts w:cs="Arial"/>
          <w:color w:val="211E1E"/>
          <w:sz w:val="16"/>
          <w:szCs w:val="16"/>
        </w:rPr>
        <w:t xml:space="preserve">In order to have a fair hearing, you </w:t>
      </w:r>
      <w:r>
        <w:rPr>
          <w:rFonts w:cs="Arial"/>
          <w:b/>
          <w:bCs/>
          <w:color w:val="211E1E"/>
          <w:sz w:val="16"/>
          <w:szCs w:val="16"/>
        </w:rPr>
        <w:t xml:space="preserve">MUST DO THE FOLLOWING: </w:t>
      </w:r>
    </w:p>
    <w:p w14:paraId="310865FA" w14:textId="77777777" w:rsidR="00C90292" w:rsidRDefault="00C90292" w:rsidP="00C90292">
      <w:pPr>
        <w:pStyle w:val="Default"/>
        <w:framePr w:w="9801" w:wrap="auto" w:vAnchor="page" w:hAnchor="page" w:x="1370" w:y="2549"/>
        <w:rPr>
          <w:color w:val="211E1E"/>
          <w:sz w:val="16"/>
          <w:szCs w:val="16"/>
        </w:rPr>
      </w:pPr>
    </w:p>
    <w:p w14:paraId="2A3D0555" w14:textId="77777777" w:rsidR="00C90292" w:rsidRDefault="00C90292" w:rsidP="00C90292">
      <w:pPr>
        <w:pStyle w:val="Default"/>
        <w:framePr w:w="9801" w:wrap="auto" w:vAnchor="page" w:hAnchor="page" w:x="1370" w:y="2549"/>
        <w:rPr>
          <w:color w:val="211E1E"/>
          <w:sz w:val="16"/>
          <w:szCs w:val="16"/>
        </w:rPr>
      </w:pPr>
      <w:r>
        <w:rPr>
          <w:color w:val="211E1E"/>
          <w:sz w:val="16"/>
          <w:szCs w:val="16"/>
        </w:rPr>
        <w:t xml:space="preserve">1. state your reason(s) for the appeal in the space provided below otherwise the appeal request will be dismissed without a hearing; </w:t>
      </w:r>
      <w:r>
        <w:rPr>
          <w:i/>
          <w:iCs/>
          <w:color w:val="211E1E"/>
          <w:sz w:val="16"/>
          <w:szCs w:val="16"/>
        </w:rPr>
        <w:t xml:space="preserve">and </w:t>
      </w:r>
    </w:p>
    <w:p w14:paraId="02025BBC" w14:textId="77777777" w:rsidR="00C90292" w:rsidRDefault="00C90292" w:rsidP="00C90292">
      <w:pPr>
        <w:pStyle w:val="Default"/>
        <w:framePr w:w="9801" w:wrap="auto" w:vAnchor="page" w:hAnchor="page" w:x="1370" w:y="2549"/>
        <w:rPr>
          <w:color w:val="211E1E"/>
          <w:sz w:val="16"/>
          <w:szCs w:val="16"/>
        </w:rPr>
      </w:pPr>
    </w:p>
    <w:p w14:paraId="2F85E436" w14:textId="77777777" w:rsidR="00C90292" w:rsidRDefault="00C90292" w:rsidP="00C90292">
      <w:pPr>
        <w:pStyle w:val="Default"/>
        <w:framePr w:w="6126" w:wrap="auto" w:vAnchor="page" w:hAnchor="page" w:x="1371" w:y="2933"/>
        <w:rPr>
          <w:color w:val="211E1E"/>
          <w:sz w:val="16"/>
          <w:szCs w:val="16"/>
        </w:rPr>
      </w:pPr>
      <w:r>
        <w:rPr>
          <w:color w:val="211E1E"/>
          <w:sz w:val="16"/>
          <w:szCs w:val="16"/>
        </w:rPr>
        <w:t xml:space="preserve">2. indicate your phone number including area code in the space provided below; </w:t>
      </w:r>
      <w:r>
        <w:rPr>
          <w:i/>
          <w:iCs/>
          <w:color w:val="211E1E"/>
          <w:sz w:val="16"/>
          <w:szCs w:val="16"/>
        </w:rPr>
        <w:t xml:space="preserve">and </w:t>
      </w:r>
    </w:p>
    <w:p w14:paraId="3E90A5D7" w14:textId="77777777" w:rsidR="00084EC8" w:rsidRDefault="00084EC8" w:rsidP="00C90292"/>
    <w:sectPr w:rsidR="00084EC8">
      <w:footerReference w:type="even"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BD42F" w14:textId="77777777" w:rsidR="00C90292" w:rsidRDefault="00C90292" w:rsidP="00C90292">
      <w:r>
        <w:separator/>
      </w:r>
    </w:p>
  </w:endnote>
  <w:endnote w:type="continuationSeparator" w:id="0">
    <w:p w14:paraId="150BA2EC" w14:textId="77777777" w:rsidR="00C90292" w:rsidRDefault="00C90292" w:rsidP="00C9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C6457" w14:textId="77777777" w:rsidR="00E5238C" w:rsidRDefault="00C90292" w:rsidP="00636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6D215E0" w14:textId="77777777" w:rsidR="00E5238C" w:rsidRDefault="006735E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5F05D" w14:textId="70CCBC35" w:rsidR="00E5238C" w:rsidRDefault="00C90292" w:rsidP="00636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35EA">
      <w:rPr>
        <w:rStyle w:val="PageNumber"/>
        <w:noProof/>
      </w:rPr>
      <w:t>1</w:t>
    </w:r>
    <w:r>
      <w:rPr>
        <w:rStyle w:val="PageNumber"/>
      </w:rPr>
      <w:fldChar w:fldCharType="end"/>
    </w:r>
  </w:p>
  <w:p w14:paraId="090305FE" w14:textId="77777777" w:rsidR="00E5238C" w:rsidRDefault="006735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BDBC5" w14:textId="77777777" w:rsidR="00C90292" w:rsidRDefault="00C90292" w:rsidP="00C90292">
      <w:r>
        <w:separator/>
      </w:r>
    </w:p>
  </w:footnote>
  <w:footnote w:type="continuationSeparator" w:id="0">
    <w:p w14:paraId="19083BB8" w14:textId="77777777" w:rsidR="00C90292" w:rsidRDefault="00C90292" w:rsidP="00C902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7EB76" w14:textId="77777777" w:rsidR="00E5238C" w:rsidRDefault="006735EA" w:rsidP="004B4F2E">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D24E4"/>
    <w:multiLevelType w:val="hybridMultilevel"/>
    <w:tmpl w:val="E684F0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92"/>
    <w:rsid w:val="00084EC8"/>
    <w:rsid w:val="001470D5"/>
    <w:rsid w:val="00230DE5"/>
    <w:rsid w:val="002843B6"/>
    <w:rsid w:val="00460A5B"/>
    <w:rsid w:val="00477101"/>
    <w:rsid w:val="004D7C78"/>
    <w:rsid w:val="00565506"/>
    <w:rsid w:val="006735EA"/>
    <w:rsid w:val="00722C27"/>
    <w:rsid w:val="007D49EA"/>
    <w:rsid w:val="00A52014"/>
    <w:rsid w:val="00C90292"/>
    <w:rsid w:val="00F75113"/>
    <w:rsid w:val="00F9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426D"/>
  <w15:docId w15:val="{D37EFEC3-DF2A-4878-9D3E-55265153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292"/>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90292"/>
    <w:pPr>
      <w:tabs>
        <w:tab w:val="center" w:pos="4320"/>
        <w:tab w:val="right" w:pos="8640"/>
      </w:tabs>
    </w:pPr>
  </w:style>
  <w:style w:type="character" w:customStyle="1" w:styleId="FooterChar">
    <w:name w:val="Footer Char"/>
    <w:basedOn w:val="DefaultParagraphFont"/>
    <w:link w:val="Footer"/>
    <w:rsid w:val="00C90292"/>
    <w:rPr>
      <w:rFonts w:ascii="Times New Roman" w:eastAsia="Times New Roman" w:hAnsi="Times New Roman" w:cs="Times New Roman"/>
      <w:sz w:val="24"/>
      <w:szCs w:val="24"/>
    </w:rPr>
  </w:style>
  <w:style w:type="character" w:styleId="PageNumber">
    <w:name w:val="page number"/>
    <w:basedOn w:val="DefaultParagraphFont"/>
    <w:rsid w:val="00C90292"/>
  </w:style>
  <w:style w:type="paragraph" w:customStyle="1" w:styleId="TxBrp1">
    <w:name w:val="TxBr_p1"/>
    <w:rsid w:val="00C90292"/>
    <w:pPr>
      <w:tabs>
        <w:tab w:val="left" w:pos="0"/>
        <w:tab w:val="left" w:pos="204"/>
      </w:tabs>
      <w:autoSpaceDE w:val="0"/>
      <w:autoSpaceDN w:val="0"/>
      <w:adjustRightInd w:val="0"/>
      <w:spacing w:line="288" w:lineRule="exact"/>
    </w:pPr>
    <w:rPr>
      <w:rFonts w:ascii="Courier" w:eastAsia="Times New Roman" w:hAnsi="Courier" w:cs="Times New Roman"/>
      <w:sz w:val="24"/>
      <w:szCs w:val="24"/>
    </w:rPr>
  </w:style>
  <w:style w:type="paragraph" w:customStyle="1" w:styleId="TxBrc2">
    <w:name w:val="TxBr_c2"/>
    <w:rsid w:val="00C90292"/>
    <w:pPr>
      <w:autoSpaceDE w:val="0"/>
      <w:autoSpaceDN w:val="0"/>
      <w:adjustRightInd w:val="0"/>
      <w:jc w:val="center"/>
    </w:pPr>
    <w:rPr>
      <w:rFonts w:ascii="Courier" w:eastAsia="Times New Roman" w:hAnsi="Courier" w:cs="Times New Roman"/>
      <w:sz w:val="24"/>
      <w:szCs w:val="24"/>
    </w:rPr>
  </w:style>
  <w:style w:type="paragraph" w:customStyle="1" w:styleId="TxBrp3">
    <w:name w:val="TxBr_p3"/>
    <w:rsid w:val="00C90292"/>
    <w:pPr>
      <w:tabs>
        <w:tab w:val="left" w:pos="0"/>
        <w:tab w:val="left" w:pos="344"/>
      </w:tabs>
      <w:autoSpaceDE w:val="0"/>
      <w:autoSpaceDN w:val="0"/>
      <w:adjustRightInd w:val="0"/>
      <w:spacing w:line="288" w:lineRule="exact"/>
      <w:ind w:firstLine="345"/>
    </w:pPr>
    <w:rPr>
      <w:rFonts w:ascii="Courier" w:eastAsia="Times New Roman" w:hAnsi="Courier" w:cs="Times New Roman"/>
      <w:sz w:val="24"/>
      <w:szCs w:val="24"/>
    </w:rPr>
  </w:style>
  <w:style w:type="paragraph" w:customStyle="1" w:styleId="TxBrp6">
    <w:name w:val="TxBr_p6"/>
    <w:rsid w:val="00C90292"/>
    <w:pPr>
      <w:tabs>
        <w:tab w:val="left" w:pos="1461"/>
        <w:tab w:val="left" w:pos="2202"/>
        <w:tab w:val="left" w:pos="2922"/>
      </w:tabs>
      <w:autoSpaceDE w:val="0"/>
      <w:autoSpaceDN w:val="0"/>
      <w:adjustRightInd w:val="0"/>
      <w:spacing w:line="288" w:lineRule="exact"/>
      <w:ind w:left="1461" w:hanging="720"/>
    </w:pPr>
    <w:rPr>
      <w:rFonts w:ascii="Courier" w:eastAsia="Times New Roman" w:hAnsi="Courier" w:cs="Times New Roman"/>
      <w:sz w:val="24"/>
      <w:szCs w:val="24"/>
    </w:rPr>
  </w:style>
  <w:style w:type="paragraph" w:customStyle="1" w:styleId="TxBrp8">
    <w:name w:val="TxBr_p8"/>
    <w:rsid w:val="00C90292"/>
    <w:pPr>
      <w:tabs>
        <w:tab w:val="left" w:pos="0"/>
        <w:tab w:val="left" w:pos="736"/>
      </w:tabs>
      <w:autoSpaceDE w:val="0"/>
      <w:autoSpaceDN w:val="0"/>
      <w:adjustRightInd w:val="0"/>
      <w:spacing w:line="288" w:lineRule="exact"/>
      <w:ind w:firstLine="736"/>
    </w:pPr>
    <w:rPr>
      <w:rFonts w:ascii="Courier" w:eastAsia="Times New Roman" w:hAnsi="Courier" w:cs="Times New Roman"/>
      <w:sz w:val="24"/>
      <w:szCs w:val="24"/>
    </w:rPr>
  </w:style>
  <w:style w:type="paragraph" w:customStyle="1" w:styleId="TxBrp9">
    <w:name w:val="TxBr_p9"/>
    <w:rsid w:val="00C90292"/>
    <w:pPr>
      <w:tabs>
        <w:tab w:val="left" w:pos="0"/>
        <w:tab w:val="left" w:pos="204"/>
      </w:tabs>
      <w:autoSpaceDE w:val="0"/>
      <w:autoSpaceDN w:val="0"/>
      <w:adjustRightInd w:val="0"/>
      <w:spacing w:line="288" w:lineRule="exact"/>
    </w:pPr>
    <w:rPr>
      <w:rFonts w:ascii="Courier" w:eastAsia="Times New Roman" w:hAnsi="Courier" w:cs="Times New Roman"/>
      <w:sz w:val="24"/>
      <w:szCs w:val="24"/>
    </w:rPr>
  </w:style>
  <w:style w:type="paragraph" w:customStyle="1" w:styleId="TxBrp10">
    <w:name w:val="TxBr_p10"/>
    <w:rsid w:val="00C90292"/>
    <w:pPr>
      <w:tabs>
        <w:tab w:val="left" w:pos="1456"/>
        <w:tab w:val="left" w:pos="2192"/>
        <w:tab w:val="left" w:pos="2912"/>
      </w:tabs>
      <w:autoSpaceDE w:val="0"/>
      <w:autoSpaceDN w:val="0"/>
      <w:adjustRightInd w:val="0"/>
      <w:spacing w:line="288" w:lineRule="exact"/>
      <w:ind w:left="1456" w:hanging="720"/>
    </w:pPr>
    <w:rPr>
      <w:rFonts w:ascii="Courier" w:eastAsia="Times New Roman" w:hAnsi="Courier" w:cs="Times New Roman"/>
      <w:sz w:val="24"/>
      <w:szCs w:val="24"/>
    </w:rPr>
  </w:style>
  <w:style w:type="paragraph" w:customStyle="1" w:styleId="TxBrp11">
    <w:name w:val="TxBr_p11"/>
    <w:rsid w:val="00C90292"/>
    <w:pPr>
      <w:tabs>
        <w:tab w:val="left" w:pos="0"/>
        <w:tab w:val="left" w:pos="322"/>
      </w:tabs>
      <w:autoSpaceDE w:val="0"/>
      <w:autoSpaceDN w:val="0"/>
      <w:adjustRightInd w:val="0"/>
      <w:spacing w:line="288" w:lineRule="exact"/>
      <w:ind w:firstLine="322"/>
    </w:pPr>
    <w:rPr>
      <w:rFonts w:ascii="Courier" w:eastAsia="Times New Roman" w:hAnsi="Courier" w:cs="Times New Roman"/>
      <w:sz w:val="24"/>
      <w:szCs w:val="24"/>
    </w:rPr>
  </w:style>
  <w:style w:type="paragraph" w:customStyle="1" w:styleId="TxBrp12">
    <w:name w:val="TxBr_p12"/>
    <w:rsid w:val="00C90292"/>
    <w:pPr>
      <w:tabs>
        <w:tab w:val="left" w:pos="322"/>
        <w:tab w:val="left" w:pos="644"/>
      </w:tabs>
      <w:autoSpaceDE w:val="0"/>
      <w:autoSpaceDN w:val="0"/>
      <w:adjustRightInd w:val="0"/>
      <w:ind w:left="322" w:hanging="322"/>
    </w:pPr>
    <w:rPr>
      <w:rFonts w:ascii="Courier" w:eastAsia="Times New Roman" w:hAnsi="Courier" w:cs="Times New Roman"/>
      <w:sz w:val="24"/>
      <w:szCs w:val="24"/>
    </w:rPr>
  </w:style>
  <w:style w:type="paragraph" w:customStyle="1" w:styleId="TxBrp13">
    <w:name w:val="TxBr_p13"/>
    <w:rsid w:val="00C90292"/>
    <w:pPr>
      <w:tabs>
        <w:tab w:val="left" w:pos="0"/>
        <w:tab w:val="left" w:pos="832"/>
      </w:tabs>
      <w:autoSpaceDE w:val="0"/>
      <w:autoSpaceDN w:val="0"/>
      <w:adjustRightInd w:val="0"/>
      <w:spacing w:line="288" w:lineRule="exact"/>
      <w:ind w:firstLine="832"/>
    </w:pPr>
    <w:rPr>
      <w:rFonts w:ascii="Courier" w:eastAsia="Times New Roman" w:hAnsi="Courier" w:cs="Times New Roman"/>
      <w:sz w:val="24"/>
      <w:szCs w:val="24"/>
    </w:rPr>
  </w:style>
  <w:style w:type="paragraph" w:customStyle="1" w:styleId="TxBrp14">
    <w:name w:val="TxBr_p14"/>
    <w:rsid w:val="00C90292"/>
    <w:pPr>
      <w:tabs>
        <w:tab w:val="left" w:pos="900"/>
        <w:tab w:val="left" w:pos="1800"/>
      </w:tabs>
      <w:autoSpaceDE w:val="0"/>
      <w:autoSpaceDN w:val="0"/>
      <w:adjustRightInd w:val="0"/>
      <w:ind w:left="900"/>
    </w:pPr>
    <w:rPr>
      <w:rFonts w:ascii="Courier" w:eastAsia="Times New Roman" w:hAnsi="Courier" w:cs="Times New Roman"/>
      <w:sz w:val="24"/>
      <w:szCs w:val="24"/>
    </w:rPr>
  </w:style>
  <w:style w:type="paragraph" w:customStyle="1" w:styleId="TxBrp15">
    <w:name w:val="TxBr_p15"/>
    <w:rsid w:val="00C90292"/>
    <w:pPr>
      <w:tabs>
        <w:tab w:val="left" w:pos="736"/>
        <w:tab w:val="left" w:pos="1472"/>
      </w:tabs>
      <w:autoSpaceDE w:val="0"/>
      <w:autoSpaceDN w:val="0"/>
      <w:adjustRightInd w:val="0"/>
      <w:ind w:left="736" w:hanging="736"/>
    </w:pPr>
    <w:rPr>
      <w:rFonts w:ascii="Courier" w:eastAsia="Times New Roman" w:hAnsi="Courier" w:cs="Times New Roman"/>
      <w:sz w:val="24"/>
      <w:szCs w:val="24"/>
    </w:rPr>
  </w:style>
  <w:style w:type="paragraph" w:customStyle="1" w:styleId="TxBrp16">
    <w:name w:val="TxBr_p16"/>
    <w:rsid w:val="00C90292"/>
    <w:pPr>
      <w:tabs>
        <w:tab w:val="left" w:pos="741"/>
        <w:tab w:val="left" w:pos="1482"/>
      </w:tabs>
      <w:autoSpaceDE w:val="0"/>
      <w:autoSpaceDN w:val="0"/>
      <w:adjustRightInd w:val="0"/>
      <w:ind w:left="741" w:hanging="741"/>
    </w:pPr>
    <w:rPr>
      <w:rFonts w:ascii="Courier" w:eastAsia="Times New Roman" w:hAnsi="Courier" w:cs="Times New Roman"/>
      <w:sz w:val="24"/>
      <w:szCs w:val="24"/>
    </w:rPr>
  </w:style>
  <w:style w:type="paragraph" w:customStyle="1" w:styleId="Default">
    <w:name w:val="Default"/>
    <w:rsid w:val="00C90292"/>
    <w:pPr>
      <w:widowControl w:val="0"/>
      <w:autoSpaceDE w:val="0"/>
      <w:autoSpaceDN w:val="0"/>
      <w:adjustRightInd w:val="0"/>
    </w:pPr>
    <w:rPr>
      <w:rFonts w:ascii="Arial" w:eastAsia="Times New Roman" w:hAnsi="Arial" w:cs="Arial"/>
      <w:color w:val="000000"/>
      <w:sz w:val="24"/>
      <w:szCs w:val="24"/>
    </w:rPr>
  </w:style>
  <w:style w:type="paragraph" w:customStyle="1" w:styleId="CM5">
    <w:name w:val="CM5"/>
    <w:basedOn w:val="Default"/>
    <w:next w:val="Default"/>
    <w:rsid w:val="00C90292"/>
    <w:rPr>
      <w:rFonts w:cs="Times New Roman"/>
      <w:color w:val="auto"/>
    </w:rPr>
  </w:style>
  <w:style w:type="paragraph" w:customStyle="1" w:styleId="CM7">
    <w:name w:val="CM7"/>
    <w:basedOn w:val="Default"/>
    <w:next w:val="Default"/>
    <w:rsid w:val="00C90292"/>
    <w:rPr>
      <w:rFonts w:cs="Times New Roman"/>
      <w:color w:val="auto"/>
    </w:rPr>
  </w:style>
  <w:style w:type="paragraph" w:customStyle="1" w:styleId="CM8">
    <w:name w:val="CM8"/>
    <w:basedOn w:val="Default"/>
    <w:next w:val="Default"/>
    <w:rsid w:val="00C90292"/>
    <w:rPr>
      <w:rFonts w:cs="Times New Roman"/>
      <w:color w:val="auto"/>
    </w:rPr>
  </w:style>
  <w:style w:type="paragraph" w:styleId="Header">
    <w:name w:val="header"/>
    <w:basedOn w:val="Normal"/>
    <w:link w:val="HeaderChar"/>
    <w:rsid w:val="00C90292"/>
    <w:pPr>
      <w:tabs>
        <w:tab w:val="center" w:pos="4320"/>
        <w:tab w:val="right" w:pos="8640"/>
      </w:tabs>
    </w:pPr>
  </w:style>
  <w:style w:type="character" w:customStyle="1" w:styleId="HeaderChar">
    <w:name w:val="Header Char"/>
    <w:basedOn w:val="DefaultParagraphFont"/>
    <w:link w:val="Header"/>
    <w:rsid w:val="00C902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87984019</Template>
  <TotalTime>2</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Cicero</dc:creator>
  <cp:lastModifiedBy>Phyllis Guillaume</cp:lastModifiedBy>
  <cp:revision>3</cp:revision>
  <cp:lastPrinted>2016-10-08T10:01:00Z</cp:lastPrinted>
  <dcterms:created xsi:type="dcterms:W3CDTF">2016-10-08T10:18:00Z</dcterms:created>
  <dcterms:modified xsi:type="dcterms:W3CDTF">2019-06-17T16:05:00Z</dcterms:modified>
</cp:coreProperties>
</file>